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747F" w14:textId="77777777" w:rsidR="00D60424" w:rsidRDefault="00991167">
      <w:pPr>
        <w:ind w:left="284" w:right="260"/>
        <w:jc w:val="center"/>
        <w:rPr>
          <w:b/>
          <w:sz w:val="32"/>
          <w:szCs w:val="32"/>
        </w:rPr>
      </w:pPr>
      <w:r>
        <w:rPr>
          <w:b/>
          <w:sz w:val="32"/>
          <w:szCs w:val="32"/>
        </w:rPr>
        <w:t>Praznovanje evropskega dneva jezikov</w:t>
      </w:r>
    </w:p>
    <w:p w14:paraId="38597480" w14:textId="77777777" w:rsidR="00D60424" w:rsidRDefault="00D60424">
      <w:pPr>
        <w:ind w:left="284" w:right="260"/>
      </w:pPr>
    </w:p>
    <w:p w14:paraId="38597481" w14:textId="77777777" w:rsidR="00D60424" w:rsidRDefault="00991167">
      <w:pPr>
        <w:ind w:left="284" w:right="260"/>
        <w:jc w:val="center"/>
      </w:pPr>
      <w:r>
        <w:rPr>
          <w:b/>
        </w:rPr>
        <w:t>Hiša EU</w:t>
      </w:r>
      <w:r>
        <w:t>,</w:t>
      </w:r>
      <w:r>
        <w:rPr>
          <w:b/>
        </w:rPr>
        <w:t xml:space="preserve"> Dunajska 20, Ljubljana</w:t>
      </w:r>
    </w:p>
    <w:p w14:paraId="38597482" w14:textId="77777777" w:rsidR="00D60424" w:rsidRDefault="00991167">
      <w:pPr>
        <w:ind w:left="284" w:right="260"/>
        <w:jc w:val="center"/>
        <w:rPr>
          <w:b/>
        </w:rPr>
      </w:pPr>
      <w:r>
        <w:rPr>
          <w:b/>
        </w:rPr>
        <w:t>sreda, 24. september 2025</w:t>
      </w:r>
    </w:p>
    <w:p w14:paraId="38597483" w14:textId="77777777" w:rsidR="00D60424" w:rsidRDefault="00D60424">
      <w:pPr>
        <w:ind w:left="284" w:right="260"/>
        <w:jc w:val="center"/>
        <w:rPr>
          <w:b/>
        </w:rPr>
      </w:pPr>
    </w:p>
    <w:tbl>
      <w:tblPr>
        <w:tblStyle w:val="a"/>
        <w:tblW w:w="963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7655"/>
      </w:tblGrid>
      <w:tr w:rsidR="00D60424" w14:paraId="38597486" w14:textId="77777777">
        <w:tc>
          <w:tcPr>
            <w:tcW w:w="1984" w:type="dxa"/>
            <w:shd w:val="clear" w:color="auto" w:fill="auto"/>
          </w:tcPr>
          <w:p w14:paraId="38597484" w14:textId="77777777" w:rsidR="00D60424" w:rsidRDefault="00991167">
            <w:pPr>
              <w:ind w:left="284" w:right="260"/>
              <w:rPr>
                <w:i/>
              </w:rPr>
            </w:pPr>
            <w:r>
              <w:rPr>
                <w:i/>
              </w:rPr>
              <w:t>Ura</w:t>
            </w:r>
          </w:p>
        </w:tc>
        <w:tc>
          <w:tcPr>
            <w:tcW w:w="7655" w:type="dxa"/>
            <w:shd w:val="clear" w:color="auto" w:fill="auto"/>
          </w:tcPr>
          <w:p w14:paraId="38597485" w14:textId="77777777" w:rsidR="00D60424" w:rsidRDefault="00991167">
            <w:pPr>
              <w:ind w:left="284" w:right="260"/>
              <w:rPr>
                <w:i/>
              </w:rPr>
            </w:pPr>
            <w:r>
              <w:rPr>
                <w:i/>
              </w:rPr>
              <w:t>Vsebina</w:t>
            </w:r>
          </w:p>
        </w:tc>
      </w:tr>
      <w:tr w:rsidR="00D60424" w14:paraId="3859748B" w14:textId="77777777">
        <w:trPr>
          <w:trHeight w:val="478"/>
        </w:trPr>
        <w:tc>
          <w:tcPr>
            <w:tcW w:w="1984" w:type="dxa"/>
            <w:shd w:val="clear" w:color="auto" w:fill="auto"/>
          </w:tcPr>
          <w:p w14:paraId="38597487" w14:textId="77777777" w:rsidR="00D60424" w:rsidRDefault="00D60424">
            <w:pPr>
              <w:ind w:left="284" w:right="260"/>
            </w:pPr>
          </w:p>
          <w:p w14:paraId="38597488" w14:textId="77777777" w:rsidR="00D60424" w:rsidRDefault="00991167">
            <w:pPr>
              <w:ind w:left="284" w:right="260"/>
            </w:pPr>
            <w:r>
              <w:t>9.00–9.30</w:t>
            </w:r>
          </w:p>
        </w:tc>
        <w:tc>
          <w:tcPr>
            <w:tcW w:w="7655" w:type="dxa"/>
            <w:shd w:val="clear" w:color="auto" w:fill="auto"/>
          </w:tcPr>
          <w:p w14:paraId="38597489" w14:textId="77777777" w:rsidR="00D60424" w:rsidRDefault="00D60424">
            <w:pPr>
              <w:ind w:left="284" w:right="260"/>
            </w:pPr>
          </w:p>
          <w:p w14:paraId="3859748A" w14:textId="77777777" w:rsidR="00D60424" w:rsidRDefault="00991167">
            <w:pPr>
              <w:spacing w:after="240"/>
              <w:ind w:left="284" w:right="260"/>
            </w:pPr>
            <w:r>
              <w:t>Prihod in prijava udeležencev</w:t>
            </w:r>
          </w:p>
        </w:tc>
      </w:tr>
      <w:tr w:rsidR="00D60424" w14:paraId="3859749E" w14:textId="77777777">
        <w:trPr>
          <w:trHeight w:val="4453"/>
        </w:trPr>
        <w:tc>
          <w:tcPr>
            <w:tcW w:w="1984" w:type="dxa"/>
            <w:shd w:val="clear" w:color="auto" w:fill="auto"/>
          </w:tcPr>
          <w:p w14:paraId="3859748C" w14:textId="77777777" w:rsidR="00D60424" w:rsidRDefault="00991167">
            <w:pPr>
              <w:spacing w:before="240"/>
              <w:ind w:left="284" w:right="260"/>
            </w:pPr>
            <w:r>
              <w:t>9.30–11.30</w:t>
            </w:r>
          </w:p>
          <w:p w14:paraId="3859748D" w14:textId="77777777" w:rsidR="00D60424" w:rsidRDefault="00D60424">
            <w:pPr>
              <w:spacing w:before="240"/>
              <w:ind w:left="284" w:right="260"/>
            </w:pPr>
          </w:p>
        </w:tc>
        <w:tc>
          <w:tcPr>
            <w:tcW w:w="7655" w:type="dxa"/>
            <w:shd w:val="clear" w:color="auto" w:fill="auto"/>
          </w:tcPr>
          <w:p w14:paraId="3859748E" w14:textId="77777777" w:rsidR="00D60424" w:rsidRDefault="00991167">
            <w:pPr>
              <w:spacing w:before="240"/>
              <w:ind w:left="284" w:right="260"/>
            </w:pPr>
            <w:r>
              <w:t xml:space="preserve">Nagovori: </w:t>
            </w:r>
          </w:p>
          <w:p w14:paraId="3859748F" w14:textId="77777777" w:rsidR="00D60424" w:rsidRDefault="00991167">
            <w:pPr>
              <w:ind w:left="284" w:right="260"/>
            </w:pPr>
            <w:r>
              <w:rPr>
                <w:b/>
              </w:rPr>
              <w:t>Jerneja Jug Jerše</w:t>
            </w:r>
            <w:r>
              <w:t xml:space="preserve">, vodja Predstavništva Evropske komisije v Sloveniji </w:t>
            </w:r>
          </w:p>
          <w:p w14:paraId="38597490" w14:textId="77777777" w:rsidR="00D60424" w:rsidRDefault="00991167">
            <w:pPr>
              <w:ind w:left="284" w:right="260"/>
              <w:rPr>
                <w:b/>
              </w:rPr>
            </w:pPr>
            <w:r>
              <w:rPr>
                <w:b/>
              </w:rPr>
              <w:t>Janja Zupančič</w:t>
            </w:r>
            <w:r>
              <w:t>, državna sekretarka na Ministrstvu za vzgojo in izobraževanje</w:t>
            </w:r>
          </w:p>
          <w:p w14:paraId="38597491" w14:textId="29D03F0F" w:rsidR="00D60424" w:rsidRDefault="00991167">
            <w:pPr>
              <w:ind w:left="284" w:right="260"/>
              <w:rPr>
                <w:b/>
                <w:color w:val="FF00FF"/>
              </w:rPr>
            </w:pPr>
            <w:r>
              <w:rPr>
                <w:b/>
              </w:rPr>
              <w:t>Jasna Rojc</w:t>
            </w:r>
            <w:r>
              <w:t>,</w:t>
            </w:r>
            <w:r>
              <w:rPr>
                <w:b/>
              </w:rPr>
              <w:t xml:space="preserve"> </w:t>
            </w:r>
            <w:r>
              <w:t>direktorica Zavoda RS za šolstvo</w:t>
            </w:r>
          </w:p>
          <w:p w14:paraId="38597492" w14:textId="77777777" w:rsidR="00D60424" w:rsidRDefault="00991167">
            <w:pPr>
              <w:ind w:right="260"/>
            </w:pPr>
            <w:r>
              <w:rPr>
                <w:b/>
              </w:rPr>
              <w:t xml:space="preserve">      </w:t>
            </w:r>
          </w:p>
          <w:p w14:paraId="38597493" w14:textId="77777777" w:rsidR="00D60424" w:rsidRDefault="00991167">
            <w:pPr>
              <w:ind w:left="284" w:right="260"/>
              <w:rPr>
                <w:b/>
              </w:rPr>
            </w:pPr>
            <w:r>
              <w:rPr>
                <w:b/>
              </w:rPr>
              <w:t>25 let evropskega dneva jezikov</w:t>
            </w:r>
          </w:p>
          <w:p w14:paraId="38597494" w14:textId="77777777" w:rsidR="00D60424" w:rsidRDefault="00991167">
            <w:pPr>
              <w:ind w:left="284" w:right="260"/>
            </w:pPr>
            <w:r>
              <w:rPr>
                <w:b/>
              </w:rPr>
              <w:t>Michael Armstrong</w:t>
            </w:r>
            <w:r>
              <w:t xml:space="preserve">, Evropski center za moderne jezike, </w:t>
            </w:r>
            <w:proofErr w:type="spellStart"/>
            <w:r>
              <w:t>Graz</w:t>
            </w:r>
            <w:proofErr w:type="spellEnd"/>
            <w:r>
              <w:t xml:space="preserve"> (video predstavitev v angleščini s povzetkom v slovenščini)</w:t>
            </w:r>
          </w:p>
          <w:p w14:paraId="38597495" w14:textId="77777777" w:rsidR="00D60424" w:rsidRDefault="00D60424">
            <w:pPr>
              <w:ind w:left="284" w:right="260"/>
              <w:rPr>
                <w:b/>
              </w:rPr>
            </w:pPr>
          </w:p>
          <w:p w14:paraId="38597496" w14:textId="77777777" w:rsidR="00D60424" w:rsidRDefault="00991167">
            <w:pPr>
              <w:ind w:left="284" w:right="260"/>
              <w:rPr>
                <w:b/>
              </w:rPr>
            </w:pPr>
            <w:r>
              <w:rPr>
                <w:b/>
              </w:rPr>
              <w:t>Pluralistični pristopi v eksperimentu Sveta Evrope Vključevanje romskih otrok v vzgojo in izobraževanje: preizkušanje večjezičnih pristopov</w:t>
            </w:r>
          </w:p>
          <w:p w14:paraId="38597497" w14:textId="77777777" w:rsidR="00D60424" w:rsidRDefault="00991167">
            <w:pPr>
              <w:ind w:left="284" w:right="260"/>
            </w:pPr>
            <w:proofErr w:type="spellStart"/>
            <w:r>
              <w:rPr>
                <w:b/>
              </w:rPr>
              <w:t>Susanne</w:t>
            </w:r>
            <w:proofErr w:type="spellEnd"/>
            <w:r>
              <w:rPr>
                <w:b/>
              </w:rPr>
              <w:t xml:space="preserve"> Volčanšek</w:t>
            </w:r>
            <w:r>
              <w:t xml:space="preserve"> in </w:t>
            </w:r>
            <w:r>
              <w:rPr>
                <w:b/>
              </w:rPr>
              <w:t>Liljana Kač</w:t>
            </w:r>
            <w:r>
              <w:t>, Zavod RS za šolstvo</w:t>
            </w:r>
          </w:p>
          <w:p w14:paraId="38597498" w14:textId="77777777" w:rsidR="00D60424" w:rsidRDefault="00D60424">
            <w:pPr>
              <w:ind w:left="284" w:right="260"/>
              <w:rPr>
                <w:b/>
              </w:rPr>
            </w:pPr>
          </w:p>
          <w:p w14:paraId="38597499" w14:textId="77777777" w:rsidR="00D60424" w:rsidRDefault="00991167">
            <w:pPr>
              <w:ind w:left="284" w:right="260"/>
              <w:rPr>
                <w:b/>
              </w:rPr>
            </w:pPr>
            <w:r>
              <w:rPr>
                <w:b/>
              </w:rPr>
              <w:t>Pedagoški forum Zavoda RS za šolstvo ob evropskem dnevu jezikov</w:t>
            </w:r>
          </w:p>
          <w:p w14:paraId="3859749A" w14:textId="77777777" w:rsidR="00D60424" w:rsidRDefault="00991167">
            <w:pPr>
              <w:ind w:left="284" w:right="260"/>
            </w:pPr>
            <w:r>
              <w:t xml:space="preserve">Predstavitev </w:t>
            </w:r>
            <w:proofErr w:type="spellStart"/>
            <w:r>
              <w:t>večjezikovnih</w:t>
            </w:r>
            <w:proofErr w:type="spellEnd"/>
            <w:r>
              <w:t xml:space="preserve"> dejavnosti in podelitev priznanj za leto 2024</w:t>
            </w:r>
          </w:p>
          <w:p w14:paraId="3859749B" w14:textId="77777777" w:rsidR="00D60424" w:rsidRDefault="00991167">
            <w:pPr>
              <w:ind w:left="284" w:right="260"/>
            </w:pPr>
            <w:r>
              <w:t>Predstavitvi OŠ Divača in Gimnazije Poljane</w:t>
            </w:r>
          </w:p>
          <w:p w14:paraId="3859749C" w14:textId="77777777" w:rsidR="00D60424" w:rsidRDefault="00991167">
            <w:pPr>
              <w:ind w:left="284" w:right="260"/>
            </w:pPr>
            <w:r>
              <w:rPr>
                <w:b/>
              </w:rPr>
              <w:t>Liljana Kač</w:t>
            </w:r>
            <w:r>
              <w:t>, Zavod RS za šolstvo</w:t>
            </w:r>
          </w:p>
          <w:p w14:paraId="3859749D" w14:textId="77777777" w:rsidR="00D60424" w:rsidRDefault="00D60424">
            <w:pPr>
              <w:ind w:left="284" w:right="260"/>
            </w:pPr>
          </w:p>
        </w:tc>
      </w:tr>
      <w:tr w:rsidR="00D60424" w14:paraId="385974A2" w14:textId="77777777">
        <w:tc>
          <w:tcPr>
            <w:tcW w:w="1984" w:type="dxa"/>
            <w:shd w:val="clear" w:color="auto" w:fill="auto"/>
          </w:tcPr>
          <w:p w14:paraId="3859749F" w14:textId="77777777" w:rsidR="00D60424" w:rsidRDefault="00991167">
            <w:pPr>
              <w:spacing w:before="240"/>
              <w:ind w:left="284" w:right="260"/>
            </w:pPr>
            <w:r>
              <w:t xml:space="preserve">11.30–12.15 </w:t>
            </w:r>
          </w:p>
          <w:p w14:paraId="385974A0" w14:textId="77777777" w:rsidR="00D60424" w:rsidRDefault="00D60424">
            <w:pPr>
              <w:ind w:left="284" w:right="260"/>
            </w:pPr>
          </w:p>
        </w:tc>
        <w:tc>
          <w:tcPr>
            <w:tcW w:w="7655" w:type="dxa"/>
            <w:shd w:val="clear" w:color="auto" w:fill="auto"/>
          </w:tcPr>
          <w:p w14:paraId="385974A1" w14:textId="77777777" w:rsidR="00D60424" w:rsidRDefault="00991167">
            <w:pPr>
              <w:spacing w:before="240"/>
              <w:ind w:left="284" w:right="260"/>
            </w:pPr>
            <w:r>
              <w:t>Odmor in predstavitev dejavnosti kulturnih inštitutov v Ljubljani</w:t>
            </w:r>
          </w:p>
        </w:tc>
      </w:tr>
      <w:tr w:rsidR="00D60424" w14:paraId="385974A7" w14:textId="77777777">
        <w:trPr>
          <w:trHeight w:val="1164"/>
        </w:trPr>
        <w:tc>
          <w:tcPr>
            <w:tcW w:w="1984" w:type="dxa"/>
            <w:shd w:val="clear" w:color="auto" w:fill="auto"/>
          </w:tcPr>
          <w:p w14:paraId="385974A3" w14:textId="77777777" w:rsidR="00D60424" w:rsidRDefault="00991167">
            <w:pPr>
              <w:spacing w:before="240"/>
              <w:ind w:left="284" w:right="260"/>
            </w:pPr>
            <w:r>
              <w:t>12.15–13.15</w:t>
            </w:r>
          </w:p>
        </w:tc>
        <w:tc>
          <w:tcPr>
            <w:tcW w:w="7655" w:type="dxa"/>
            <w:shd w:val="clear" w:color="auto" w:fill="auto"/>
          </w:tcPr>
          <w:p w14:paraId="385974A4" w14:textId="77777777" w:rsidR="00D60424" w:rsidRDefault="00D60424">
            <w:pPr>
              <w:ind w:left="284" w:right="260"/>
              <w:rPr>
                <w:b/>
              </w:rPr>
            </w:pPr>
          </w:p>
          <w:p w14:paraId="385974A5" w14:textId="77777777" w:rsidR="00D60424" w:rsidRDefault="00991167">
            <w:pPr>
              <w:ind w:left="284" w:right="260"/>
              <w:rPr>
                <w:b/>
              </w:rPr>
            </w:pPr>
            <w:r>
              <w:rPr>
                <w:b/>
              </w:rPr>
              <w:t>Interaktivno predavanje Spomin za jezike</w:t>
            </w:r>
          </w:p>
          <w:p w14:paraId="385974A6" w14:textId="77777777" w:rsidR="00D60424" w:rsidRDefault="00991167">
            <w:pPr>
              <w:ind w:left="284" w:right="260"/>
              <w:rPr>
                <w:b/>
              </w:rPr>
            </w:pPr>
            <w:r>
              <w:rPr>
                <w:b/>
              </w:rPr>
              <w:t>Nik Škrlec</w:t>
            </w:r>
            <w:r>
              <w:t>, igralec, TV voditelj in ustvarjalec</w:t>
            </w:r>
          </w:p>
        </w:tc>
      </w:tr>
      <w:tr w:rsidR="00D60424" w14:paraId="385974AA" w14:textId="77777777">
        <w:tc>
          <w:tcPr>
            <w:tcW w:w="1984" w:type="dxa"/>
            <w:shd w:val="clear" w:color="auto" w:fill="auto"/>
          </w:tcPr>
          <w:p w14:paraId="385974A8" w14:textId="77777777" w:rsidR="00D60424" w:rsidRDefault="00991167">
            <w:pPr>
              <w:spacing w:before="240"/>
              <w:ind w:left="284" w:right="260"/>
            </w:pPr>
            <w:r>
              <w:t>13.15–14.00</w:t>
            </w:r>
          </w:p>
        </w:tc>
        <w:tc>
          <w:tcPr>
            <w:tcW w:w="7655" w:type="dxa"/>
            <w:shd w:val="clear" w:color="auto" w:fill="auto"/>
          </w:tcPr>
          <w:p w14:paraId="385974A9" w14:textId="77777777" w:rsidR="00D60424" w:rsidRDefault="00991167">
            <w:pPr>
              <w:spacing w:before="240" w:after="240"/>
              <w:ind w:left="284" w:right="260"/>
            </w:pPr>
            <w:r>
              <w:t>Sprejem za udeležence</w:t>
            </w:r>
          </w:p>
        </w:tc>
      </w:tr>
    </w:tbl>
    <w:p w14:paraId="385974AB" w14:textId="77777777" w:rsidR="00D60424" w:rsidRDefault="00D60424">
      <w:pPr>
        <w:ind w:left="426" w:right="260"/>
        <w:jc w:val="both"/>
      </w:pPr>
    </w:p>
    <w:p w14:paraId="385974AD" w14:textId="77777777" w:rsidR="00D60424" w:rsidRDefault="00D60424">
      <w:pPr>
        <w:ind w:left="426" w:right="260"/>
        <w:jc w:val="both"/>
        <w:rPr>
          <w:b/>
          <w:color w:val="0070C0"/>
          <w:u w:val="single"/>
        </w:rPr>
      </w:pPr>
    </w:p>
    <w:p w14:paraId="385974AE" w14:textId="77777777" w:rsidR="00D60424" w:rsidRDefault="00D60424">
      <w:pPr>
        <w:ind w:left="284"/>
        <w:jc w:val="both"/>
        <w:rPr>
          <w:b/>
          <w:u w:val="single"/>
        </w:rPr>
      </w:pPr>
    </w:p>
    <w:p w14:paraId="7FAAB3E5" w14:textId="77777777" w:rsidR="00991167" w:rsidRDefault="00991167">
      <w:pPr>
        <w:rPr>
          <w:b/>
          <w:u w:val="single"/>
        </w:rPr>
      </w:pPr>
      <w:r>
        <w:rPr>
          <w:b/>
          <w:u w:val="single"/>
        </w:rPr>
        <w:br w:type="page"/>
      </w:r>
    </w:p>
    <w:p w14:paraId="385974AF" w14:textId="4202C775" w:rsidR="00D60424" w:rsidRDefault="00991167">
      <w:pPr>
        <w:ind w:left="284"/>
        <w:jc w:val="both"/>
        <w:rPr>
          <w:b/>
          <w:u w:val="single"/>
        </w:rPr>
      </w:pPr>
      <w:r>
        <w:rPr>
          <w:b/>
          <w:u w:val="single"/>
        </w:rPr>
        <w:lastRenderedPageBreak/>
        <w:t>Sporočilo Sveta Evrope ob praznovanju evropskega dneva jezikov</w:t>
      </w:r>
    </w:p>
    <w:p w14:paraId="385974B0" w14:textId="77777777" w:rsidR="00D60424" w:rsidRDefault="00991167">
      <w:pPr>
        <w:ind w:left="284"/>
        <w:jc w:val="both"/>
      </w:pPr>
      <w:r>
        <w:t xml:space="preserve">Letos praznujemo 25. obletnico evropskega dneva jezikov. Michael Armstrong, vodja administracije na Evropskem centru za moderne jezike Sveta Evrope že vsa ta leta skrbi, da so ob tej priložnosti na voljo najrazličnejše aktivnosti in da je vsako leto kaj novega. V svoji predstavitvi nam bo povedal, kako se je vse skupaj začelo, kako razvijalo do danes, kaj so najpopularnejše vsebine, pa tudi, kako izkoristiti te aktivnosti pri pouku jezikov. Praznovanje v letu 2025 poteka pod geslom </w:t>
      </w:r>
      <w:r>
        <w:rPr>
          <w:i/>
        </w:rPr>
        <w:t>Jeziki odpirajo srca in razširjajo obzorja</w:t>
      </w:r>
      <w:r>
        <w:t xml:space="preserve">. Več o tem na </w:t>
      </w:r>
      <w:hyperlink r:id="rId7">
        <w:r>
          <w:rPr>
            <w:color w:val="0563C1"/>
            <w:u w:val="single"/>
          </w:rPr>
          <w:t>http://edl.ecml.at</w:t>
        </w:r>
      </w:hyperlink>
      <w:r>
        <w:t>.</w:t>
      </w:r>
    </w:p>
    <w:p w14:paraId="385974B3" w14:textId="77777777" w:rsidR="00D60424" w:rsidRDefault="00D60424">
      <w:pPr>
        <w:ind w:left="284" w:right="260"/>
        <w:jc w:val="both"/>
        <w:rPr>
          <w:b/>
          <w:u w:val="single"/>
        </w:rPr>
      </w:pPr>
    </w:p>
    <w:p w14:paraId="385974B4" w14:textId="77777777" w:rsidR="00D60424" w:rsidRDefault="00991167">
      <w:pPr>
        <w:ind w:left="284"/>
        <w:jc w:val="both"/>
        <w:rPr>
          <w:b/>
          <w:u w:val="single"/>
        </w:rPr>
      </w:pPr>
      <w:r>
        <w:rPr>
          <w:b/>
          <w:u w:val="single"/>
        </w:rPr>
        <w:t>Pluralistični pristopi v eksperimentu Sveta Evrope Vključevanje romskih otrok v vzgojo in izobraževanje: preizkušanje večjezičnih pristopov</w:t>
      </w:r>
    </w:p>
    <w:p w14:paraId="385974B5" w14:textId="77777777" w:rsidR="00D60424" w:rsidRDefault="00991167">
      <w:pPr>
        <w:ind w:left="284"/>
        <w:jc w:val="both"/>
      </w:pPr>
      <w:r>
        <w:t xml:space="preserve">Pluralistični pristopi pri pouku so bili glavno vodilo pri izvajanju eksperimenta Sveta Evrope, ki je potekal od 2022 do 2025 v treh državah. Eksperiment je v Sloveniji koordiniral Zavod RS za šolstvo skupaj z MVI na štirih osnovnih šolah. Dosežki tega dela so bili predstavljeni na zaključni konferenci v obliki </w:t>
      </w:r>
      <w:hyperlink r:id="rId8">
        <w:r>
          <w:rPr>
            <w:color w:val="1155CC"/>
            <w:u w:val="single"/>
          </w:rPr>
          <w:t>filma</w:t>
        </w:r>
      </w:hyperlink>
      <w:r>
        <w:t xml:space="preserve"> ter na letošnji 5. nacionalni konferenci</w:t>
      </w:r>
      <w:hyperlink r:id="rId9">
        <w:r>
          <w:rPr>
            <w:color w:val="1155CC"/>
            <w:u w:val="single"/>
          </w:rPr>
          <w:t xml:space="preserve"> Jeziki v izobraževanju</w:t>
        </w:r>
      </w:hyperlink>
      <w:r>
        <w:t>. Na predstavitvi bo prikazanih nekaj primerov večjezičnih dejavnosti iz eksperimenta, ki so prenosljivi na vse učence, ter vključenost pluralističnih pristopov v prenovljene učne načrte za tuje jezike.</w:t>
      </w:r>
    </w:p>
    <w:p w14:paraId="385974B6" w14:textId="77777777" w:rsidR="00D60424" w:rsidRDefault="00D60424">
      <w:pPr>
        <w:ind w:left="284" w:right="260"/>
        <w:jc w:val="both"/>
        <w:rPr>
          <w:b/>
          <w:u w:val="single"/>
        </w:rPr>
      </w:pPr>
    </w:p>
    <w:p w14:paraId="385974B7" w14:textId="77777777" w:rsidR="00D60424" w:rsidRDefault="00991167">
      <w:pPr>
        <w:ind w:left="284" w:right="260"/>
        <w:jc w:val="both"/>
        <w:rPr>
          <w:b/>
          <w:u w:val="single"/>
        </w:rPr>
      </w:pPr>
      <w:r>
        <w:rPr>
          <w:b/>
          <w:u w:val="single"/>
        </w:rPr>
        <w:t>Pedagoški forum Zavoda RS za šolstvo ob evropskem dnevu jezikov</w:t>
      </w:r>
    </w:p>
    <w:p w14:paraId="385974B8" w14:textId="77777777" w:rsidR="00D60424" w:rsidRDefault="00991167">
      <w:pPr>
        <w:ind w:left="284"/>
        <w:jc w:val="both"/>
      </w:pPr>
      <w:r>
        <w:t>Zavod RS za šolstvo vsako leto podeli priznanja za deset najboljših prispevkov, ki jih vzgojitelji in učitelji ob evropskem dnevu jezikov objavijo v</w:t>
      </w:r>
      <w:hyperlink r:id="rId10">
        <w:r>
          <w:t xml:space="preserve"> </w:t>
        </w:r>
      </w:hyperlink>
      <w:hyperlink r:id="rId11">
        <w:r>
          <w:rPr>
            <w:color w:val="1155CC"/>
            <w:u w:val="single"/>
          </w:rPr>
          <w:t>spletnem pedagoškem forumu</w:t>
        </w:r>
      </w:hyperlink>
      <w:r>
        <w:t xml:space="preserve">. Priznanja za leto 2024 prejmejo </w:t>
      </w:r>
      <w:r>
        <w:rPr>
          <w:b/>
        </w:rPr>
        <w:t>OŠ Idrija</w:t>
      </w:r>
      <w:r>
        <w:t xml:space="preserve"> s prispevkom Samo ljubezen – dobrodelna prireditev ob evropskem dnevu jezikov, </w:t>
      </w:r>
      <w:r>
        <w:rPr>
          <w:b/>
        </w:rPr>
        <w:t xml:space="preserve">Srednja prometna šola Maribor </w:t>
      </w:r>
      <w:r>
        <w:t xml:space="preserve">s prispevkom Projektni teden: glas miru skozi jezike, </w:t>
      </w:r>
      <w:r>
        <w:rPr>
          <w:b/>
        </w:rPr>
        <w:t>Gimnazija Poljane</w:t>
      </w:r>
      <w:r>
        <w:t xml:space="preserve"> s prispevkom Jezikovno sobivanje in soustvarjanje v miru, </w:t>
      </w:r>
      <w:r>
        <w:rPr>
          <w:b/>
        </w:rPr>
        <w:t>Srednja šola za gostinstvo in turizem Radenci</w:t>
      </w:r>
      <w:r>
        <w:t xml:space="preserve"> s prispevkom Jeziki popularnih pesmi in debata o učenju jezikov, </w:t>
      </w:r>
      <w:r>
        <w:rPr>
          <w:b/>
        </w:rPr>
        <w:t>Srednja šola Izola</w:t>
      </w:r>
      <w:r>
        <w:t xml:space="preserve"> s prispevkoma Jezikovni teden – mir v srcu in Haiku za mir, </w:t>
      </w:r>
      <w:r>
        <w:rPr>
          <w:b/>
        </w:rPr>
        <w:t>OŠ Divača</w:t>
      </w:r>
      <w:r>
        <w:t xml:space="preserve">, </w:t>
      </w:r>
      <w:r>
        <w:rPr>
          <w:b/>
        </w:rPr>
        <w:t>PŠ Senožeče</w:t>
      </w:r>
      <w:r>
        <w:t xml:space="preserve"> in </w:t>
      </w:r>
      <w:r>
        <w:rPr>
          <w:b/>
        </w:rPr>
        <w:t>PŠ Vreme</w:t>
      </w:r>
      <w:r>
        <w:t xml:space="preserve"> s prispevkom Evropski dan jezikov v športu in kulinariki ter razstava Jeziki za mir, </w:t>
      </w:r>
      <w:r>
        <w:rPr>
          <w:b/>
        </w:rPr>
        <w:t>OŠ Polzela</w:t>
      </w:r>
      <w:r>
        <w:t xml:space="preserve"> s prispevkom Evropski dan jezikov 2024 na OŠ Polzela: Jeziki za mir in Človek, ne jezi se, </w:t>
      </w:r>
      <w:r>
        <w:rPr>
          <w:b/>
        </w:rPr>
        <w:t>OŠ Sv. Jurij ob Ščavnici</w:t>
      </w:r>
      <w:r>
        <w:t xml:space="preserve"> s prispevkom Jezikaj kreativno ter </w:t>
      </w:r>
      <w:r>
        <w:rPr>
          <w:b/>
        </w:rPr>
        <w:t>OŠ Kidričevo</w:t>
      </w:r>
      <w:r>
        <w:t xml:space="preserve"> s prispevkom Raziskujemo evropske jezike: z besedami želimo mir Evropi. Vsem nagrajenim šolam iskreno čestitamo!</w:t>
      </w:r>
    </w:p>
    <w:p w14:paraId="6503C4DA" w14:textId="77777777" w:rsidR="00CB146A" w:rsidRDefault="00CB146A">
      <w:pPr>
        <w:ind w:left="284"/>
        <w:jc w:val="both"/>
      </w:pPr>
    </w:p>
    <w:p w14:paraId="2A50C943" w14:textId="77777777" w:rsidR="00CB146A" w:rsidRPr="00CB146A" w:rsidRDefault="00CB146A" w:rsidP="00CB146A">
      <w:pPr>
        <w:ind w:left="284"/>
        <w:jc w:val="both"/>
        <w:rPr>
          <w:b/>
          <w:bCs/>
          <w:u w:val="single"/>
        </w:rPr>
      </w:pPr>
      <w:r w:rsidRPr="00CB146A">
        <w:rPr>
          <w:b/>
          <w:bCs/>
          <w:u w:val="single"/>
        </w:rPr>
        <w:t>Interaktivno predavanje Spomin za jezike</w:t>
      </w:r>
    </w:p>
    <w:p w14:paraId="15034623" w14:textId="7845C8E2" w:rsidR="00CB146A" w:rsidRDefault="00CB146A" w:rsidP="00CB146A">
      <w:pPr>
        <w:ind w:left="284"/>
        <w:jc w:val="both"/>
      </w:pPr>
      <w:r>
        <w:t xml:space="preserve">Kakšen spomin je sploh potreben za učenje jezikov? In kako smo lahko pri tem bolj učinkoviti? </w:t>
      </w:r>
      <w:r w:rsidRPr="008D20E1">
        <w:rPr>
          <w:b/>
          <w:bCs/>
        </w:rPr>
        <w:t>Nik Škrlec</w:t>
      </w:r>
      <w:r>
        <w:t>, igralec in mojster tehnik pomnjenja, bo z nami delil pametne pristope in tehnike, ki vam lahko pomagajo pri učenju in spoznavanju tujih jezikov.</w:t>
      </w:r>
    </w:p>
    <w:p w14:paraId="385974B9" w14:textId="77777777" w:rsidR="00D60424" w:rsidRDefault="00D60424">
      <w:pPr>
        <w:ind w:left="284"/>
        <w:jc w:val="both"/>
        <w:rPr>
          <w:b/>
        </w:rPr>
      </w:pPr>
    </w:p>
    <w:p w14:paraId="385974BC" w14:textId="77777777" w:rsidR="00D60424" w:rsidRDefault="00D60424">
      <w:pPr>
        <w:ind w:left="284"/>
        <w:jc w:val="both"/>
      </w:pPr>
    </w:p>
    <w:p w14:paraId="385974BD" w14:textId="77777777" w:rsidR="00D60424" w:rsidRDefault="00D60424">
      <w:pPr>
        <w:ind w:left="284"/>
        <w:jc w:val="both"/>
      </w:pPr>
    </w:p>
    <w:p w14:paraId="385974BE" w14:textId="77777777" w:rsidR="00D60424" w:rsidRDefault="00D60424">
      <w:pPr>
        <w:ind w:left="284"/>
        <w:jc w:val="both"/>
      </w:pPr>
    </w:p>
    <w:p w14:paraId="385974BF" w14:textId="77777777" w:rsidR="00D60424" w:rsidRDefault="00D60424">
      <w:pPr>
        <w:ind w:left="284"/>
        <w:jc w:val="both"/>
      </w:pPr>
    </w:p>
    <w:p w14:paraId="385974C0" w14:textId="77777777" w:rsidR="00D60424" w:rsidRDefault="00D60424">
      <w:pPr>
        <w:ind w:left="284"/>
        <w:jc w:val="both"/>
      </w:pPr>
    </w:p>
    <w:sectPr w:rsidR="00D60424">
      <w:headerReference w:type="even" r:id="rId12"/>
      <w:headerReference w:type="default" r:id="rId13"/>
      <w:footerReference w:type="even" r:id="rId14"/>
      <w:footerReference w:type="default" r:id="rId15"/>
      <w:headerReference w:type="first" r:id="rId16"/>
      <w:footerReference w:type="first" r:id="rId17"/>
      <w:pgSz w:w="11906" w:h="16838"/>
      <w:pgMar w:top="720" w:right="991" w:bottom="720" w:left="851"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974CD" w14:textId="77777777" w:rsidR="00991167" w:rsidRDefault="00991167">
      <w:r>
        <w:separator/>
      </w:r>
    </w:p>
  </w:endnote>
  <w:endnote w:type="continuationSeparator" w:id="0">
    <w:p w14:paraId="385974CF" w14:textId="77777777" w:rsidR="00991167" w:rsidRDefault="0099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2803" w14:textId="77777777" w:rsidR="00924E72" w:rsidRDefault="00924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F43D" w14:textId="77777777" w:rsidR="00924E72" w:rsidRDefault="00924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B4F3" w14:textId="77777777" w:rsidR="00924E72" w:rsidRDefault="00924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974C9" w14:textId="77777777" w:rsidR="00991167" w:rsidRDefault="00991167">
      <w:r>
        <w:separator/>
      </w:r>
    </w:p>
  </w:footnote>
  <w:footnote w:type="continuationSeparator" w:id="0">
    <w:p w14:paraId="385974CB" w14:textId="77777777" w:rsidR="00991167" w:rsidRDefault="00991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14A0" w14:textId="77777777" w:rsidR="00924E72" w:rsidRDefault="00924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74C1" w14:textId="77777777" w:rsidR="00D60424" w:rsidRDefault="00D60424">
    <w:pPr>
      <w:pBdr>
        <w:top w:val="nil"/>
        <w:left w:val="nil"/>
        <w:bottom w:val="nil"/>
        <w:right w:val="nil"/>
        <w:between w:val="nil"/>
      </w:pBdr>
      <w:tabs>
        <w:tab w:val="center" w:pos="4536"/>
        <w:tab w:val="right" w:pos="9072"/>
      </w:tabs>
      <w:rPr>
        <w:color w:val="000000"/>
      </w:rPr>
    </w:pPr>
  </w:p>
  <w:tbl>
    <w:tblPr>
      <w:tblStyle w:val="a0"/>
      <w:tblW w:w="10019" w:type="dxa"/>
      <w:jc w:val="center"/>
      <w:tblBorders>
        <w:top w:val="nil"/>
        <w:left w:val="nil"/>
        <w:bottom w:val="nil"/>
        <w:right w:val="nil"/>
        <w:insideH w:val="nil"/>
        <w:insideV w:val="nil"/>
      </w:tblBorders>
      <w:tblLayout w:type="fixed"/>
      <w:tblLook w:val="0400" w:firstRow="0" w:lastRow="0" w:firstColumn="0" w:lastColumn="0" w:noHBand="0" w:noVBand="1"/>
    </w:tblPr>
    <w:tblGrid>
      <w:gridCol w:w="2001"/>
      <w:gridCol w:w="1685"/>
      <w:gridCol w:w="2526"/>
      <w:gridCol w:w="3807"/>
    </w:tblGrid>
    <w:tr w:rsidR="00D60424" w14:paraId="385974C7" w14:textId="77777777">
      <w:trPr>
        <w:trHeight w:val="858"/>
        <w:jc w:val="center"/>
      </w:trPr>
      <w:tc>
        <w:tcPr>
          <w:tcW w:w="2001" w:type="dxa"/>
        </w:tcPr>
        <w:p w14:paraId="385974C2" w14:textId="456E72D3" w:rsidR="00D60424" w:rsidRDefault="00924E72">
          <w:pPr>
            <w:jc w:val="center"/>
          </w:pPr>
          <w:r>
            <w:rPr>
              <w:noProof/>
            </w:rPr>
            <w:drawing>
              <wp:inline distT="0" distB="0" distL="0" distR="0" wp14:anchorId="3937CFC3" wp14:editId="2D2A2DC7">
                <wp:extent cx="813857" cy="566028"/>
                <wp:effectExtent l="0" t="0" r="0" b="0"/>
                <wp:docPr id="31" name="image3.jpg" descr="C:\Users\jaksape\AppData\Local\Microsoft\Windows\Temporary Internet Files\Content.Outlook\ACY2N6DY\logo_ce-sl-rvb-lr.jpg"/>
                <wp:cNvGraphicFramePr/>
                <a:graphic xmlns:a="http://schemas.openxmlformats.org/drawingml/2006/main">
                  <a:graphicData uri="http://schemas.openxmlformats.org/drawingml/2006/picture">
                    <pic:pic xmlns:pic="http://schemas.openxmlformats.org/drawingml/2006/picture">
                      <pic:nvPicPr>
                        <pic:cNvPr id="0" name="image3.jpg" descr="C:\Users\jaksape\AppData\Local\Microsoft\Windows\Temporary Internet Files\Content.Outlook\ACY2N6DY\logo_ce-sl-rvb-lr.jpg"/>
                        <pic:cNvPicPr preferRelativeResize="0"/>
                      </pic:nvPicPr>
                      <pic:blipFill>
                        <a:blip r:embed="rId1"/>
                        <a:srcRect/>
                        <a:stretch>
                          <a:fillRect/>
                        </a:stretch>
                      </pic:blipFill>
                      <pic:spPr>
                        <a:xfrm>
                          <a:off x="0" y="0"/>
                          <a:ext cx="813857" cy="566028"/>
                        </a:xfrm>
                        <a:prstGeom prst="rect">
                          <a:avLst/>
                        </a:prstGeom>
                        <a:ln/>
                      </pic:spPr>
                    </pic:pic>
                  </a:graphicData>
                </a:graphic>
              </wp:inline>
            </w:drawing>
          </w:r>
        </w:p>
      </w:tc>
      <w:tc>
        <w:tcPr>
          <w:tcW w:w="1685" w:type="dxa"/>
        </w:tcPr>
        <w:p w14:paraId="385974C3" w14:textId="4D9B7040" w:rsidR="00D60424" w:rsidRDefault="00D60424">
          <w:pPr>
            <w:jc w:val="center"/>
            <w:rPr>
              <w:rFonts w:ascii="Verdana" w:eastAsia="Verdana" w:hAnsi="Verdana" w:cs="Verdana"/>
            </w:rPr>
          </w:pPr>
        </w:p>
      </w:tc>
      <w:tc>
        <w:tcPr>
          <w:tcW w:w="2526" w:type="dxa"/>
        </w:tcPr>
        <w:p w14:paraId="385974C4" w14:textId="77777777" w:rsidR="00D60424" w:rsidRDefault="00991167">
          <w:pPr>
            <w:jc w:val="center"/>
          </w:pPr>
          <w:r>
            <w:rPr>
              <w:noProof/>
            </w:rPr>
            <w:drawing>
              <wp:anchor distT="0" distB="0" distL="114300" distR="114300" simplePos="0" relativeHeight="251658240" behindDoc="0" locked="0" layoutInCell="1" hidden="0" allowOverlap="1" wp14:anchorId="385974CB" wp14:editId="43FBE50C">
                <wp:simplePos x="0" y="0"/>
                <wp:positionH relativeFrom="column">
                  <wp:posOffset>-68489</wp:posOffset>
                </wp:positionH>
                <wp:positionV relativeFrom="paragraph">
                  <wp:posOffset>169635</wp:posOffset>
                </wp:positionV>
                <wp:extent cx="1457325" cy="297180"/>
                <wp:effectExtent l="0" t="0" r="0" b="0"/>
                <wp:wrapSquare wrapText="bothSides" distT="0" distB="0" distL="114300" distR="114300"/>
                <wp:docPr id="30" name="image2.png" descr="zrsš"/>
                <wp:cNvGraphicFramePr/>
                <a:graphic xmlns:a="http://schemas.openxmlformats.org/drawingml/2006/main">
                  <a:graphicData uri="http://schemas.openxmlformats.org/drawingml/2006/picture">
                    <pic:pic xmlns:pic="http://schemas.openxmlformats.org/drawingml/2006/picture">
                      <pic:nvPicPr>
                        <pic:cNvPr id="0" name="image2.png" descr="zrsš"/>
                        <pic:cNvPicPr preferRelativeResize="0"/>
                      </pic:nvPicPr>
                      <pic:blipFill>
                        <a:blip r:embed="rId2"/>
                        <a:srcRect/>
                        <a:stretch>
                          <a:fillRect/>
                        </a:stretch>
                      </pic:blipFill>
                      <pic:spPr>
                        <a:xfrm>
                          <a:off x="0" y="0"/>
                          <a:ext cx="1457325" cy="297180"/>
                        </a:xfrm>
                        <a:prstGeom prst="rect">
                          <a:avLst/>
                        </a:prstGeom>
                        <a:ln/>
                      </pic:spPr>
                    </pic:pic>
                  </a:graphicData>
                </a:graphic>
              </wp:anchor>
            </w:drawing>
          </w:r>
        </w:p>
      </w:tc>
      <w:tc>
        <w:tcPr>
          <w:tcW w:w="3807" w:type="dxa"/>
        </w:tcPr>
        <w:p w14:paraId="385974C5" w14:textId="0064CD0D" w:rsidR="00D60424" w:rsidRDefault="00D60424">
          <w:pPr>
            <w:jc w:val="center"/>
          </w:pPr>
        </w:p>
        <w:p w14:paraId="385974C6" w14:textId="718FC286" w:rsidR="00D60424" w:rsidRDefault="00924E72">
          <w:pPr>
            <w:jc w:val="center"/>
          </w:pPr>
          <w:r>
            <w:rPr>
              <w:noProof/>
            </w:rPr>
            <w:drawing>
              <wp:inline distT="0" distB="0" distL="0" distR="0" wp14:anchorId="332682BF" wp14:editId="67729ACC">
                <wp:extent cx="2293738" cy="228271"/>
                <wp:effectExtent l="0" t="0" r="0" b="0"/>
                <wp:docPr id="32" name="image1.png" descr="cid:image003.png@01D9B586.CF088EF0"/>
                <wp:cNvGraphicFramePr/>
                <a:graphic xmlns:a="http://schemas.openxmlformats.org/drawingml/2006/main">
                  <a:graphicData uri="http://schemas.openxmlformats.org/drawingml/2006/picture">
                    <pic:pic xmlns:pic="http://schemas.openxmlformats.org/drawingml/2006/picture">
                      <pic:nvPicPr>
                        <pic:cNvPr id="0" name="image1.png" descr="cid:image003.png@01D9B586.CF088EF0"/>
                        <pic:cNvPicPr preferRelativeResize="0"/>
                      </pic:nvPicPr>
                      <pic:blipFill>
                        <a:blip r:embed="rId3"/>
                        <a:srcRect/>
                        <a:stretch>
                          <a:fillRect/>
                        </a:stretch>
                      </pic:blipFill>
                      <pic:spPr>
                        <a:xfrm>
                          <a:off x="0" y="0"/>
                          <a:ext cx="2293738" cy="228271"/>
                        </a:xfrm>
                        <a:prstGeom prst="rect">
                          <a:avLst/>
                        </a:prstGeom>
                        <a:ln/>
                      </pic:spPr>
                    </pic:pic>
                  </a:graphicData>
                </a:graphic>
              </wp:inline>
            </w:drawing>
          </w:r>
        </w:p>
      </w:tc>
    </w:tr>
  </w:tbl>
  <w:p w14:paraId="385974C8" w14:textId="77777777" w:rsidR="00D60424" w:rsidRDefault="00D60424">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26E7" w14:textId="77777777" w:rsidR="00924E72" w:rsidRDefault="00924E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24"/>
    <w:rsid w:val="000800D0"/>
    <w:rsid w:val="005A0CB1"/>
    <w:rsid w:val="008D20E1"/>
    <w:rsid w:val="00924E72"/>
    <w:rsid w:val="00991167"/>
    <w:rsid w:val="00A4158B"/>
    <w:rsid w:val="00A534AF"/>
    <w:rsid w:val="00CB146A"/>
    <w:rsid w:val="00D604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9747F"/>
  <w15:docId w15:val="{C2748332-528D-4D9D-8377-9F9C9933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l"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F79FC"/>
    <w:pPr>
      <w:tabs>
        <w:tab w:val="center" w:pos="4536"/>
        <w:tab w:val="right" w:pos="9072"/>
      </w:tabs>
    </w:pPr>
  </w:style>
  <w:style w:type="character" w:customStyle="1" w:styleId="HeaderChar">
    <w:name w:val="Header Char"/>
    <w:basedOn w:val="DefaultParagraphFont"/>
    <w:link w:val="Header"/>
    <w:uiPriority w:val="99"/>
    <w:rsid w:val="004F79FC"/>
    <w:rPr>
      <w:lang w:val="sl-SI"/>
    </w:rPr>
  </w:style>
  <w:style w:type="character" w:styleId="Hyperlink">
    <w:name w:val="Hyperlink"/>
    <w:basedOn w:val="DefaultParagraphFont"/>
    <w:uiPriority w:val="99"/>
    <w:unhideWhenUsed/>
    <w:rsid w:val="004F79FC"/>
    <w:rPr>
      <w:color w:val="0563C1" w:themeColor="hyperlink"/>
      <w:u w:val="single"/>
    </w:rPr>
  </w:style>
  <w:style w:type="table" w:styleId="TableGrid">
    <w:name w:val="Table Grid"/>
    <w:basedOn w:val="TableNormal"/>
    <w:uiPriority w:val="59"/>
    <w:rsid w:val="004F79FC"/>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F79FC"/>
    <w:rPr>
      <w:b/>
      <w:bCs/>
    </w:rPr>
  </w:style>
  <w:style w:type="paragraph" w:styleId="Footer">
    <w:name w:val="footer"/>
    <w:basedOn w:val="Normal"/>
    <w:link w:val="FooterChar"/>
    <w:uiPriority w:val="99"/>
    <w:unhideWhenUsed/>
    <w:rsid w:val="001E2260"/>
    <w:pPr>
      <w:tabs>
        <w:tab w:val="center" w:pos="4680"/>
        <w:tab w:val="right" w:pos="9360"/>
      </w:tabs>
    </w:pPr>
  </w:style>
  <w:style w:type="character" w:customStyle="1" w:styleId="FooterChar">
    <w:name w:val="Footer Char"/>
    <w:basedOn w:val="DefaultParagraphFont"/>
    <w:link w:val="Footer"/>
    <w:uiPriority w:val="99"/>
    <w:rsid w:val="001E2260"/>
    <w:rPr>
      <w:lang w:val="sl-SI"/>
    </w:rPr>
  </w:style>
  <w:style w:type="character" w:styleId="CommentReference">
    <w:name w:val="annotation reference"/>
    <w:basedOn w:val="DefaultParagraphFont"/>
    <w:uiPriority w:val="99"/>
    <w:semiHidden/>
    <w:unhideWhenUsed/>
    <w:rsid w:val="00181AA4"/>
    <w:rPr>
      <w:sz w:val="16"/>
      <w:szCs w:val="16"/>
    </w:rPr>
  </w:style>
  <w:style w:type="paragraph" w:styleId="CommentText">
    <w:name w:val="annotation text"/>
    <w:basedOn w:val="Normal"/>
    <w:link w:val="CommentTextChar"/>
    <w:uiPriority w:val="99"/>
    <w:semiHidden/>
    <w:unhideWhenUsed/>
    <w:rsid w:val="00181AA4"/>
    <w:rPr>
      <w:sz w:val="20"/>
      <w:szCs w:val="20"/>
    </w:rPr>
  </w:style>
  <w:style w:type="character" w:customStyle="1" w:styleId="CommentTextChar">
    <w:name w:val="Comment Text Char"/>
    <w:basedOn w:val="DefaultParagraphFont"/>
    <w:link w:val="CommentText"/>
    <w:uiPriority w:val="99"/>
    <w:semiHidden/>
    <w:rsid w:val="00181AA4"/>
    <w:rPr>
      <w:sz w:val="20"/>
      <w:szCs w:val="20"/>
      <w:lang w:val="sl-SI"/>
    </w:rPr>
  </w:style>
  <w:style w:type="paragraph" w:styleId="CommentSubject">
    <w:name w:val="annotation subject"/>
    <w:basedOn w:val="CommentText"/>
    <w:next w:val="CommentText"/>
    <w:link w:val="CommentSubjectChar"/>
    <w:uiPriority w:val="99"/>
    <w:semiHidden/>
    <w:unhideWhenUsed/>
    <w:rsid w:val="00181AA4"/>
    <w:rPr>
      <w:b/>
      <w:bCs/>
    </w:rPr>
  </w:style>
  <w:style w:type="character" w:customStyle="1" w:styleId="CommentSubjectChar">
    <w:name w:val="Comment Subject Char"/>
    <w:basedOn w:val="CommentTextChar"/>
    <w:link w:val="CommentSubject"/>
    <w:uiPriority w:val="99"/>
    <w:semiHidden/>
    <w:rsid w:val="00181AA4"/>
    <w:rPr>
      <w:b/>
      <w:bCs/>
      <w:sz w:val="20"/>
      <w:szCs w:val="20"/>
      <w:lang w:val="sl-SI"/>
    </w:rPr>
  </w:style>
  <w:style w:type="paragraph" w:styleId="BalloonText">
    <w:name w:val="Balloon Text"/>
    <w:basedOn w:val="Normal"/>
    <w:link w:val="BalloonTextChar"/>
    <w:uiPriority w:val="99"/>
    <w:semiHidden/>
    <w:unhideWhenUsed/>
    <w:rsid w:val="00181A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AA4"/>
    <w:rPr>
      <w:rFonts w:ascii="Segoe UI" w:hAnsi="Segoe UI" w:cs="Segoe UI"/>
      <w:sz w:val="18"/>
      <w:szCs w:val="18"/>
      <w:lang w:val="sl-SI"/>
    </w:rPr>
  </w:style>
  <w:style w:type="paragraph" w:styleId="ListParagraph">
    <w:name w:val="List Paragraph"/>
    <w:basedOn w:val="Normal"/>
    <w:uiPriority w:val="34"/>
    <w:qFormat/>
    <w:rsid w:val="006200BC"/>
    <w:pPr>
      <w:ind w:left="720"/>
    </w:pPr>
    <w:rPr>
      <w:lang w:val="en-US"/>
    </w:rPr>
  </w:style>
  <w:style w:type="paragraph" w:styleId="NormalWeb">
    <w:name w:val="Normal (Web)"/>
    <w:basedOn w:val="Normal"/>
    <w:uiPriority w:val="99"/>
    <w:semiHidden/>
    <w:unhideWhenUsed/>
    <w:rsid w:val="00262743"/>
    <w:pPr>
      <w:spacing w:before="100" w:beforeAutospacing="1" w:after="100" w:afterAutospacing="1"/>
    </w:pPr>
    <w:rPr>
      <w:rFonts w:ascii="Times New Roman" w:eastAsia="Times New Roman" w:hAnsi="Times New Roman" w:cs="Times New Roman"/>
      <w:sz w:val="24"/>
      <w:szCs w:val="24"/>
      <w:lang w:eastAsia="sl-SI"/>
    </w:rPr>
  </w:style>
  <w:style w:type="character" w:customStyle="1" w:styleId="ui-provider">
    <w:name w:val="ui-provider"/>
    <w:basedOn w:val="DefaultParagraphFont"/>
    <w:rsid w:val="00DF398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ideo.arnes.si/watch/2p33m00tqr0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dl.ecml.a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zrss.si/evropski-dan-jezik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zrss.si/evropski-dan-jezik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ezikivizobrazevanju.zrss.si/"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kykiaGbZZdg9nPGaP0epZtqNlw==">CgMxLjA4AHIhMU80UDVuOW9OUG5yVlJYZWpwdWMydFZRX1NwdVNIeGNw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618</Words>
  <Characters>3591</Characters>
  <Application>Microsoft Office Word</Application>
  <DocSecurity>0</DocSecurity>
  <Lines>92</Lines>
  <Paragraphs>43</Paragraphs>
  <ScaleCrop>false</ScaleCrop>
  <Company>European Commission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SKORJAK Matej (DGT-LJUBLJANA)</dc:creator>
  <cp:lastModifiedBy>SHEPPARD Lara (COMM-LJUBLJANA)</cp:lastModifiedBy>
  <cp:revision>9</cp:revision>
  <dcterms:created xsi:type="dcterms:W3CDTF">2025-07-08T15:12:00Z</dcterms:created>
  <dcterms:modified xsi:type="dcterms:W3CDTF">2025-08-31T11:21:00Z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2025-07-08T15:12:10Z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32e05e35-c163-4082-82bb-c4d21fbb8354</vt:lpwstr>
  </property>
  <property fmtid="{D5CDD505-2E9C-101B-9397-08002B2CF9AE}" pid="8" name="MSIP_Label_6bd9ddd1-4d20-43f6-abfa-fc3c07406f94_ContentBits">
    <vt:lpwstr>0</vt:lpwstr>
  </property>
</Properties>
</file>